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FC" w:rsidRDefault="00475DF9" w:rsidP="00103EFC">
      <w:pPr>
        <w:pStyle w:val="Default"/>
        <w:jc w:val="center"/>
        <w:rPr>
          <w:b/>
          <w:bCs/>
        </w:rPr>
      </w:pPr>
      <w:r w:rsidRPr="00475DF9">
        <w:rPr>
          <w:b/>
          <w:bCs/>
        </w:rPr>
        <w:t>2016 KAI-IBS Joint International Conference</w:t>
      </w:r>
    </w:p>
    <w:p w:rsidR="00475DF9" w:rsidRDefault="00475DF9" w:rsidP="00103EFC">
      <w:pPr>
        <w:pStyle w:val="Default"/>
        <w:jc w:val="center"/>
        <w:rPr>
          <w:b/>
          <w:bCs/>
        </w:rPr>
      </w:pPr>
    </w:p>
    <w:p w:rsidR="00651D27" w:rsidRDefault="00651D27" w:rsidP="00103EFC">
      <w:pPr>
        <w:pStyle w:val="Default"/>
        <w:jc w:val="center"/>
        <w:rPr>
          <w:b/>
          <w:bCs/>
        </w:rPr>
      </w:pPr>
      <w:r>
        <w:rPr>
          <w:rFonts w:hint="eastAsia"/>
          <w:b/>
          <w:bCs/>
        </w:rPr>
        <w:t>Abstract Submission Guideline</w:t>
      </w:r>
    </w:p>
    <w:p w:rsidR="00651D27" w:rsidRDefault="00651D27" w:rsidP="00651D27">
      <w:pPr>
        <w:pStyle w:val="Default"/>
        <w:rPr>
          <w:b/>
          <w:bCs/>
        </w:rPr>
      </w:pPr>
    </w:p>
    <w:p w:rsidR="00103EFC" w:rsidRDefault="000307F0" w:rsidP="00651D27">
      <w:pPr>
        <w:pStyle w:val="Default"/>
        <w:rPr>
          <w:b/>
          <w:bCs/>
        </w:rPr>
      </w:pPr>
      <w:r>
        <w:rPr>
          <w:rFonts w:hint="eastAsia"/>
          <w:b/>
          <w:bCs/>
        </w:rPr>
        <w:tab/>
      </w:r>
    </w:p>
    <w:p w:rsidR="00651D27" w:rsidRPr="000307F0" w:rsidRDefault="00651D27" w:rsidP="000307F0">
      <w:pPr>
        <w:pStyle w:val="Default"/>
        <w:ind w:firstLine="400"/>
        <w:rPr>
          <w:rFonts w:eastAsia="돋움"/>
          <w:color w:val="FF0000"/>
          <w:sz w:val="22"/>
          <w:szCs w:val="20"/>
        </w:rPr>
      </w:pPr>
      <w:r w:rsidRPr="000307F0">
        <w:rPr>
          <w:rFonts w:eastAsia="돋움"/>
          <w:b/>
          <w:bCs/>
          <w:color w:val="FF0000"/>
          <w:sz w:val="22"/>
          <w:szCs w:val="20"/>
        </w:rPr>
        <w:t xml:space="preserve">* </w:t>
      </w:r>
      <w:r w:rsidRPr="000307F0">
        <w:rPr>
          <w:rFonts w:eastAsia="돋움"/>
          <w:color w:val="FF0000"/>
          <w:sz w:val="22"/>
          <w:szCs w:val="20"/>
        </w:rPr>
        <w:t>English is the official language.</w:t>
      </w:r>
    </w:p>
    <w:p w:rsidR="00651D27" w:rsidRPr="000307F0" w:rsidRDefault="00651D27" w:rsidP="00651D27">
      <w:pPr>
        <w:pStyle w:val="Default"/>
        <w:rPr>
          <w:rFonts w:eastAsia="돋움"/>
          <w:color w:val="FF0000"/>
          <w:sz w:val="22"/>
          <w:szCs w:val="20"/>
        </w:rPr>
      </w:pPr>
      <w:bookmarkStart w:id="0" w:name="_GoBack"/>
    </w:p>
    <w:p w:rsidR="00651D27" w:rsidRPr="000307F0" w:rsidRDefault="00651D27" w:rsidP="00103EFC">
      <w:pPr>
        <w:pStyle w:val="Default"/>
        <w:numPr>
          <w:ilvl w:val="0"/>
          <w:numId w:val="1"/>
        </w:numPr>
        <w:spacing w:line="360" w:lineRule="auto"/>
        <w:rPr>
          <w:rFonts w:eastAsia="돋움"/>
          <w:color w:val="17365D" w:themeColor="text2" w:themeShade="BF"/>
          <w:sz w:val="22"/>
          <w:szCs w:val="20"/>
        </w:rPr>
      </w:pPr>
      <w:r w:rsidRPr="000307F0">
        <w:rPr>
          <w:rFonts w:eastAsia="돋움"/>
          <w:color w:val="17365D" w:themeColor="text2" w:themeShade="BF"/>
          <w:sz w:val="22"/>
          <w:szCs w:val="20"/>
        </w:rPr>
        <w:t xml:space="preserve">Title: Each word should be </w:t>
      </w:r>
      <w:r w:rsidR="000307F0" w:rsidRPr="000307F0">
        <w:rPr>
          <w:rFonts w:eastAsia="돋움"/>
          <w:color w:val="17365D" w:themeColor="text2" w:themeShade="BF"/>
          <w:sz w:val="22"/>
          <w:szCs w:val="20"/>
        </w:rPr>
        <w:t>started with a capital letter.</w:t>
      </w:r>
    </w:p>
    <w:p w:rsidR="00475DF9" w:rsidRDefault="00651D27" w:rsidP="00475DF9">
      <w:pPr>
        <w:pStyle w:val="Default"/>
        <w:numPr>
          <w:ilvl w:val="0"/>
          <w:numId w:val="1"/>
        </w:numPr>
        <w:spacing w:line="360" w:lineRule="auto"/>
        <w:rPr>
          <w:rFonts w:eastAsia="돋움"/>
          <w:color w:val="17365D" w:themeColor="text2" w:themeShade="BF"/>
          <w:sz w:val="22"/>
          <w:szCs w:val="20"/>
        </w:rPr>
      </w:pPr>
      <w:r w:rsidRPr="000307F0">
        <w:rPr>
          <w:rFonts w:eastAsia="돋움"/>
          <w:color w:val="17365D" w:themeColor="text2" w:themeShade="BF"/>
          <w:sz w:val="22"/>
          <w:szCs w:val="20"/>
        </w:rPr>
        <w:t>Presenting Author</w:t>
      </w:r>
      <w:r w:rsidR="00103EFC" w:rsidRPr="000307F0">
        <w:rPr>
          <w:rFonts w:eastAsia="돋움" w:hint="eastAsia"/>
          <w:color w:val="17365D" w:themeColor="text2" w:themeShade="BF"/>
          <w:sz w:val="22"/>
          <w:szCs w:val="20"/>
        </w:rPr>
        <w:t xml:space="preserve"> </w:t>
      </w:r>
      <w:r w:rsidRPr="000307F0">
        <w:rPr>
          <w:rFonts w:eastAsia="돋움"/>
          <w:b/>
          <w:bCs/>
          <w:color w:val="17365D" w:themeColor="text2" w:themeShade="BF"/>
          <w:sz w:val="22"/>
          <w:szCs w:val="20"/>
        </w:rPr>
        <w:t>&amp;</w:t>
      </w:r>
      <w:r w:rsidR="00103EFC" w:rsidRPr="000307F0">
        <w:rPr>
          <w:rFonts w:eastAsia="돋움" w:hint="eastAsia"/>
          <w:b/>
          <w:bCs/>
          <w:color w:val="17365D" w:themeColor="text2" w:themeShade="BF"/>
          <w:sz w:val="22"/>
          <w:szCs w:val="20"/>
        </w:rPr>
        <w:t xml:space="preserve"> </w:t>
      </w:r>
      <w:r w:rsidRPr="000307F0">
        <w:rPr>
          <w:rFonts w:eastAsia="돋움"/>
          <w:color w:val="17365D" w:themeColor="text2" w:themeShade="BF"/>
          <w:sz w:val="22"/>
          <w:szCs w:val="20"/>
        </w:rPr>
        <w:t xml:space="preserve">Co-Author: Use comma (,) between co-authors. </w:t>
      </w:r>
    </w:p>
    <w:p w:rsidR="00651D27" w:rsidRPr="00475DF9" w:rsidRDefault="00651D27" w:rsidP="00475DF9">
      <w:pPr>
        <w:pStyle w:val="Default"/>
        <w:numPr>
          <w:ilvl w:val="0"/>
          <w:numId w:val="1"/>
        </w:numPr>
        <w:spacing w:line="360" w:lineRule="auto"/>
        <w:rPr>
          <w:rFonts w:eastAsia="돋움"/>
          <w:color w:val="17365D" w:themeColor="text2" w:themeShade="BF"/>
          <w:sz w:val="22"/>
          <w:szCs w:val="20"/>
        </w:rPr>
      </w:pPr>
      <w:r w:rsidRPr="00475DF9">
        <w:rPr>
          <w:rFonts w:eastAsia="돋움"/>
          <w:color w:val="17365D" w:themeColor="text2" w:themeShade="BF"/>
          <w:sz w:val="22"/>
          <w:szCs w:val="20"/>
          <w:u w:val="single"/>
        </w:rPr>
        <w:t>Underline</w:t>
      </w:r>
      <w:r w:rsidR="000307F0" w:rsidRPr="00475DF9">
        <w:rPr>
          <w:rFonts w:eastAsia="돋움" w:hint="eastAsia"/>
          <w:color w:val="17365D" w:themeColor="text2" w:themeShade="BF"/>
          <w:sz w:val="22"/>
          <w:szCs w:val="20"/>
          <w:u w:val="single"/>
        </w:rPr>
        <w:t xml:space="preserve"> for</w:t>
      </w:r>
      <w:r w:rsidRPr="00475DF9">
        <w:rPr>
          <w:rFonts w:eastAsia="돋움"/>
          <w:color w:val="17365D" w:themeColor="text2" w:themeShade="BF"/>
          <w:sz w:val="22"/>
          <w:szCs w:val="20"/>
          <w:u w:val="single"/>
        </w:rPr>
        <w:t xml:space="preserve"> Presenting Author</w:t>
      </w:r>
      <w:r w:rsidRPr="00475DF9">
        <w:rPr>
          <w:rFonts w:eastAsia="돋움"/>
          <w:color w:val="17365D" w:themeColor="text2" w:themeShade="BF"/>
          <w:sz w:val="22"/>
          <w:szCs w:val="20"/>
        </w:rPr>
        <w:t xml:space="preserve"> and </w:t>
      </w:r>
      <w:r w:rsidR="000B240A" w:rsidRPr="00475DF9">
        <w:rPr>
          <w:rFonts w:eastAsia="돋움"/>
          <w:color w:val="17365D" w:themeColor="text2" w:themeShade="BF"/>
          <w:sz w:val="22"/>
          <w:szCs w:val="20"/>
        </w:rPr>
        <w:t>asterisk (</w:t>
      </w:r>
      <w:r w:rsidRPr="00475DF9">
        <w:rPr>
          <w:rFonts w:eastAsia="돋움"/>
          <w:color w:val="17365D" w:themeColor="text2" w:themeShade="BF"/>
          <w:sz w:val="22"/>
          <w:szCs w:val="20"/>
        </w:rPr>
        <w:t xml:space="preserve">*) for Corresponding Author*. </w:t>
      </w:r>
    </w:p>
    <w:p w:rsidR="00651D27" w:rsidRPr="000307F0" w:rsidRDefault="00845CCF" w:rsidP="00103EFC">
      <w:pPr>
        <w:pStyle w:val="Default"/>
        <w:numPr>
          <w:ilvl w:val="0"/>
          <w:numId w:val="1"/>
        </w:numPr>
        <w:spacing w:line="360" w:lineRule="auto"/>
        <w:rPr>
          <w:rFonts w:eastAsia="돋움"/>
          <w:color w:val="17365D" w:themeColor="text2" w:themeShade="BF"/>
          <w:sz w:val="22"/>
          <w:szCs w:val="20"/>
        </w:rPr>
      </w:pPr>
      <w:r>
        <w:rPr>
          <w:rFonts w:eastAsia="돋움"/>
          <w:color w:val="17365D" w:themeColor="text2" w:themeShade="BF"/>
          <w:sz w:val="22"/>
          <w:szCs w:val="20"/>
        </w:rPr>
        <w:t>Name:</w:t>
      </w:r>
      <w:r>
        <w:rPr>
          <w:rFonts w:eastAsia="돋움" w:hint="eastAsia"/>
          <w:color w:val="17365D" w:themeColor="text2" w:themeShade="BF"/>
          <w:sz w:val="22"/>
          <w:szCs w:val="20"/>
        </w:rPr>
        <w:t xml:space="preserve"> P</w:t>
      </w:r>
      <w:r w:rsidR="00103EFC" w:rsidRPr="000307F0">
        <w:rPr>
          <w:rFonts w:eastAsia="돋움" w:hint="eastAsia"/>
          <w:color w:val="17365D" w:themeColor="text2" w:themeShade="BF"/>
          <w:sz w:val="22"/>
          <w:szCs w:val="20"/>
        </w:rPr>
        <w:t xml:space="preserve">ut </w:t>
      </w:r>
      <w:r w:rsidR="00651D27" w:rsidRPr="000307F0">
        <w:rPr>
          <w:rFonts w:eastAsia="돋움"/>
          <w:color w:val="17365D" w:themeColor="text2" w:themeShade="BF"/>
          <w:sz w:val="22"/>
          <w:szCs w:val="20"/>
        </w:rPr>
        <w:t>First Name Middle Name Las</w:t>
      </w:r>
      <w:r w:rsidR="00103EFC" w:rsidRPr="000307F0">
        <w:rPr>
          <w:rFonts w:eastAsia="돋움"/>
          <w:color w:val="17365D" w:themeColor="text2" w:themeShade="BF"/>
          <w:sz w:val="22"/>
          <w:szCs w:val="20"/>
        </w:rPr>
        <w:t xml:space="preserve">t Name. </w:t>
      </w:r>
      <w:r w:rsidR="000B240A" w:rsidRPr="000307F0">
        <w:rPr>
          <w:rFonts w:eastAsia="돋움"/>
          <w:color w:val="17365D" w:themeColor="text2" w:themeShade="BF"/>
          <w:sz w:val="22"/>
          <w:szCs w:val="20"/>
        </w:rPr>
        <w:t>Please</w:t>
      </w:r>
      <w:r w:rsidR="00651D27" w:rsidRPr="000307F0">
        <w:rPr>
          <w:rFonts w:eastAsia="돋움"/>
          <w:color w:val="17365D" w:themeColor="text2" w:themeShade="BF"/>
          <w:sz w:val="22"/>
          <w:szCs w:val="20"/>
        </w:rPr>
        <w:t xml:space="preserve"> follow the order. </w:t>
      </w:r>
    </w:p>
    <w:p w:rsidR="00711BA9" w:rsidRPr="000307F0" w:rsidRDefault="00651D27" w:rsidP="00103EFC">
      <w:pPr>
        <w:pStyle w:val="Default"/>
        <w:numPr>
          <w:ilvl w:val="0"/>
          <w:numId w:val="1"/>
        </w:numPr>
        <w:spacing w:line="360" w:lineRule="auto"/>
        <w:rPr>
          <w:rFonts w:eastAsia="돋움"/>
          <w:color w:val="17365D" w:themeColor="text2" w:themeShade="BF"/>
          <w:sz w:val="22"/>
          <w:szCs w:val="20"/>
        </w:rPr>
      </w:pPr>
      <w:r w:rsidRPr="000307F0">
        <w:rPr>
          <w:rFonts w:eastAsia="돋움"/>
          <w:color w:val="17365D" w:themeColor="text2" w:themeShade="BF"/>
          <w:sz w:val="22"/>
          <w:szCs w:val="20"/>
        </w:rPr>
        <w:t xml:space="preserve">Affiliation: Use </w:t>
      </w:r>
      <w:r w:rsidR="00711BA9" w:rsidRPr="000307F0">
        <w:rPr>
          <w:rFonts w:eastAsia="돋움"/>
          <w:color w:val="17365D" w:themeColor="text2" w:themeShade="BF"/>
          <w:sz w:val="22"/>
          <w:szCs w:val="20"/>
        </w:rPr>
        <w:t>superscript</w:t>
      </w:r>
      <w:r w:rsidR="00103EFC" w:rsidRPr="000307F0">
        <w:rPr>
          <w:rFonts w:eastAsia="돋움" w:hint="eastAsia"/>
          <w:color w:val="17365D" w:themeColor="text2" w:themeShade="BF"/>
          <w:sz w:val="22"/>
          <w:szCs w:val="20"/>
        </w:rPr>
        <w:t>ed</w:t>
      </w:r>
      <w:r w:rsidR="00711BA9" w:rsidRPr="000307F0">
        <w:rPr>
          <w:rFonts w:eastAsia="돋움"/>
          <w:color w:val="17365D" w:themeColor="text2" w:themeShade="BF"/>
          <w:sz w:val="22"/>
          <w:szCs w:val="20"/>
        </w:rPr>
        <w:t xml:space="preserve"> number (UCLA</w:t>
      </w:r>
      <w:r w:rsidR="00711BA9" w:rsidRPr="000307F0">
        <w:rPr>
          <w:rFonts w:eastAsia="돋움"/>
          <w:b/>
          <w:color w:val="17365D" w:themeColor="text2" w:themeShade="BF"/>
          <w:sz w:val="22"/>
          <w:szCs w:val="20"/>
          <w:vertAlign w:val="superscript"/>
        </w:rPr>
        <w:t>1</w:t>
      </w:r>
      <w:r w:rsidR="00711BA9" w:rsidRPr="000307F0">
        <w:rPr>
          <w:rFonts w:eastAsia="돋움"/>
          <w:color w:val="17365D" w:themeColor="text2" w:themeShade="BF"/>
          <w:sz w:val="22"/>
          <w:szCs w:val="20"/>
        </w:rPr>
        <w:t xml:space="preserve">) if there are more one </w:t>
      </w:r>
      <w:r w:rsidR="00103EFC" w:rsidRPr="000307F0">
        <w:rPr>
          <w:rFonts w:eastAsia="돋움" w:hint="eastAsia"/>
          <w:color w:val="17365D" w:themeColor="text2" w:themeShade="BF"/>
          <w:sz w:val="22"/>
          <w:szCs w:val="20"/>
        </w:rPr>
        <w:t xml:space="preserve">name and </w:t>
      </w:r>
      <w:r w:rsidR="00103EFC" w:rsidRPr="000307F0">
        <w:rPr>
          <w:rFonts w:eastAsia="돋움"/>
          <w:color w:val="17365D" w:themeColor="text2" w:themeShade="BF"/>
          <w:sz w:val="22"/>
          <w:szCs w:val="20"/>
        </w:rPr>
        <w:t>affiliatio</w:t>
      </w:r>
      <w:r w:rsidR="00103EFC" w:rsidRPr="000307F0">
        <w:rPr>
          <w:rFonts w:eastAsia="돋움" w:hint="eastAsia"/>
          <w:color w:val="17365D" w:themeColor="text2" w:themeShade="BF"/>
          <w:sz w:val="22"/>
          <w:szCs w:val="20"/>
        </w:rPr>
        <w:t>n</w:t>
      </w:r>
      <w:r w:rsidR="00711BA9" w:rsidRPr="000307F0">
        <w:rPr>
          <w:rFonts w:eastAsia="돋움"/>
          <w:color w:val="17365D" w:themeColor="text2" w:themeShade="BF"/>
          <w:sz w:val="22"/>
          <w:szCs w:val="20"/>
        </w:rPr>
        <w:t xml:space="preserve">. </w:t>
      </w:r>
    </w:p>
    <w:p w:rsidR="00711BA9" w:rsidRPr="000307F0" w:rsidRDefault="00711BA9" w:rsidP="00103EFC">
      <w:pPr>
        <w:pStyle w:val="Default"/>
        <w:numPr>
          <w:ilvl w:val="0"/>
          <w:numId w:val="1"/>
        </w:numPr>
        <w:spacing w:line="360" w:lineRule="auto"/>
        <w:rPr>
          <w:rFonts w:eastAsia="돋움"/>
          <w:b/>
          <w:bCs/>
          <w:color w:val="17365D" w:themeColor="text2" w:themeShade="BF"/>
          <w:sz w:val="22"/>
          <w:szCs w:val="20"/>
        </w:rPr>
      </w:pPr>
      <w:r w:rsidRPr="000307F0">
        <w:rPr>
          <w:rFonts w:eastAsia="돋움"/>
          <w:color w:val="17365D" w:themeColor="text2" w:themeShade="BF"/>
          <w:sz w:val="22"/>
          <w:szCs w:val="20"/>
        </w:rPr>
        <w:t>Body</w:t>
      </w:r>
      <w:r w:rsidR="00651D27" w:rsidRPr="000307F0">
        <w:rPr>
          <w:rFonts w:eastAsia="돋움"/>
          <w:b/>
          <w:bCs/>
          <w:color w:val="17365D" w:themeColor="text2" w:themeShade="BF"/>
          <w:sz w:val="22"/>
          <w:szCs w:val="20"/>
        </w:rPr>
        <w:t xml:space="preserve">: </w:t>
      </w:r>
      <w:r w:rsidRPr="000307F0">
        <w:rPr>
          <w:rFonts w:eastAsia="돋움"/>
          <w:bCs/>
          <w:color w:val="17365D" w:themeColor="text2" w:themeShade="BF"/>
          <w:sz w:val="22"/>
          <w:szCs w:val="20"/>
        </w:rPr>
        <w:t>Font 10. Less than 2,000 words. No more than 1 page.</w:t>
      </w:r>
      <w:r w:rsidRPr="000307F0">
        <w:rPr>
          <w:rFonts w:eastAsia="돋움"/>
          <w:b/>
          <w:bCs/>
          <w:color w:val="17365D" w:themeColor="text2" w:themeShade="BF"/>
          <w:sz w:val="22"/>
          <w:szCs w:val="20"/>
        </w:rPr>
        <w:t xml:space="preserve"> </w:t>
      </w:r>
    </w:p>
    <w:p w:rsidR="00651D27" w:rsidRPr="000307F0" w:rsidRDefault="00711BA9" w:rsidP="00103EFC">
      <w:pPr>
        <w:pStyle w:val="Default"/>
        <w:numPr>
          <w:ilvl w:val="0"/>
          <w:numId w:val="1"/>
        </w:numPr>
        <w:spacing w:line="360" w:lineRule="auto"/>
        <w:rPr>
          <w:rFonts w:eastAsia="돋움"/>
          <w:color w:val="17365D" w:themeColor="text2" w:themeShade="BF"/>
          <w:sz w:val="22"/>
          <w:szCs w:val="20"/>
        </w:rPr>
      </w:pPr>
      <w:r w:rsidRPr="000307F0">
        <w:rPr>
          <w:rFonts w:eastAsia="돋움"/>
          <w:color w:val="17365D" w:themeColor="text2" w:themeShade="BF"/>
          <w:sz w:val="22"/>
          <w:szCs w:val="20"/>
        </w:rPr>
        <w:t>Key words</w:t>
      </w:r>
      <w:r w:rsidR="00651D27" w:rsidRPr="000307F0">
        <w:rPr>
          <w:rFonts w:eastAsia="돋움"/>
          <w:color w:val="17365D" w:themeColor="text2" w:themeShade="BF"/>
          <w:sz w:val="22"/>
          <w:szCs w:val="20"/>
        </w:rPr>
        <w:t xml:space="preserve">: </w:t>
      </w:r>
      <w:r w:rsidR="00845CCF">
        <w:rPr>
          <w:rFonts w:eastAsia="돋움"/>
          <w:color w:val="17365D" w:themeColor="text2" w:themeShade="BF"/>
          <w:sz w:val="22"/>
          <w:szCs w:val="20"/>
        </w:rPr>
        <w:t>less than 5 wo</w:t>
      </w:r>
      <w:r w:rsidR="00845CCF">
        <w:rPr>
          <w:rFonts w:eastAsia="돋움" w:hint="eastAsia"/>
          <w:color w:val="17365D" w:themeColor="text2" w:themeShade="BF"/>
          <w:sz w:val="22"/>
          <w:szCs w:val="20"/>
        </w:rPr>
        <w:t>rd</w:t>
      </w:r>
      <w:r w:rsidRPr="000307F0">
        <w:rPr>
          <w:rFonts w:eastAsia="돋움"/>
          <w:color w:val="17365D" w:themeColor="text2" w:themeShade="BF"/>
          <w:sz w:val="22"/>
          <w:szCs w:val="20"/>
        </w:rPr>
        <w:t xml:space="preserve">s. Each word should </w:t>
      </w:r>
      <w:r w:rsidR="00845CCF">
        <w:rPr>
          <w:rFonts w:eastAsia="돋움" w:hint="eastAsia"/>
          <w:color w:val="17365D" w:themeColor="text2" w:themeShade="BF"/>
          <w:sz w:val="22"/>
          <w:szCs w:val="20"/>
        </w:rPr>
        <w:t>begin with a</w:t>
      </w:r>
      <w:r w:rsidRPr="000307F0">
        <w:rPr>
          <w:rFonts w:eastAsia="돋움"/>
          <w:color w:val="17365D" w:themeColor="text2" w:themeShade="BF"/>
          <w:sz w:val="22"/>
          <w:szCs w:val="20"/>
        </w:rPr>
        <w:t xml:space="preserve"> capital letter. </w:t>
      </w:r>
    </w:p>
    <w:bookmarkEnd w:id="0"/>
    <w:p w:rsidR="00103EFC" w:rsidRDefault="00103EFC" w:rsidP="00103EFC">
      <w:pPr>
        <w:pStyle w:val="Default"/>
        <w:rPr>
          <w:rFonts w:eastAsia="돋움"/>
          <w:color w:val="17365D" w:themeColor="text2" w:themeShade="BF"/>
          <w:sz w:val="20"/>
          <w:szCs w:val="20"/>
        </w:rPr>
      </w:pPr>
    </w:p>
    <w:p w:rsidR="00103EFC" w:rsidRPr="00103EFC" w:rsidRDefault="00E954D4" w:rsidP="00103EFC">
      <w:pPr>
        <w:pStyle w:val="Default"/>
        <w:rPr>
          <w:rFonts w:eastAsia="돋움"/>
          <w:color w:val="17365D" w:themeColor="text2" w:themeShade="BF"/>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609080" cy="5480685"/>
                <wp:effectExtent l="0" t="0" r="20320" b="2349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548068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ook w:val="0000" w:firstRow="0" w:lastRow="0" w:firstColumn="0" w:lastColumn="0" w:noHBand="0" w:noVBand="0"/>
                            </w:tblPr>
                            <w:tblGrid>
                              <w:gridCol w:w="10106"/>
                            </w:tblGrid>
                            <w:tr w:rsidR="00103EFC" w:rsidRPr="000B240A">
                              <w:trPr>
                                <w:trHeight w:val="5867"/>
                              </w:trPr>
                              <w:tc>
                                <w:tcPr>
                                  <w:tcW w:w="0" w:type="auto"/>
                                </w:tcPr>
                                <w:p w:rsidR="00651D27" w:rsidRPr="000B240A" w:rsidRDefault="00651D27">
                                  <w:pPr>
                                    <w:pStyle w:val="Default"/>
                                    <w:rPr>
                                      <w:rFonts w:eastAsia="돋움"/>
                                      <w:szCs w:val="20"/>
                                    </w:rPr>
                                  </w:pPr>
                                  <w:r w:rsidRPr="000B240A">
                                    <w:rPr>
                                      <w:szCs w:val="20"/>
                                    </w:rPr>
                                    <w:t>&lt;</w:t>
                                  </w:r>
                                  <w:r w:rsidR="00103EFC" w:rsidRPr="000B240A">
                                    <w:rPr>
                                      <w:rFonts w:eastAsia="돋움"/>
                                      <w:szCs w:val="20"/>
                                    </w:rPr>
                                    <w:t>Example</w:t>
                                  </w:r>
                                  <w:r w:rsidRPr="000B240A">
                                    <w:rPr>
                                      <w:rFonts w:eastAsia="돋움"/>
                                      <w:szCs w:val="20"/>
                                    </w:rPr>
                                    <w:t xml:space="preserve">&gt; </w:t>
                                  </w:r>
                                </w:p>
                                <w:p w:rsidR="00103EFC" w:rsidRPr="000B240A" w:rsidRDefault="00103EFC">
                                  <w:pPr>
                                    <w:pStyle w:val="Default"/>
                                    <w:rPr>
                                      <w:rFonts w:eastAsia="돋움"/>
                                      <w:szCs w:val="20"/>
                                    </w:rPr>
                                  </w:pPr>
                                </w:p>
                                <w:p w:rsidR="00651D27" w:rsidRDefault="00651D27">
                                  <w:pPr>
                                    <w:pStyle w:val="Default"/>
                                    <w:rPr>
                                      <w:rFonts w:eastAsia="돋움"/>
                                      <w:b/>
                                      <w:bCs/>
                                      <w:szCs w:val="20"/>
                                    </w:rPr>
                                  </w:pPr>
                                  <w:r w:rsidRPr="000B240A">
                                    <w:rPr>
                                      <w:rFonts w:eastAsia="돋움"/>
                                      <w:b/>
                                      <w:bCs/>
                                      <w:szCs w:val="20"/>
                                    </w:rPr>
                                    <w:t xml:space="preserve">Glutamine and Leucine Provide Enhanced Protective Immunity Against Mucosal Infection with Herpes Simplex Virus Type 1 </w:t>
                                  </w:r>
                                </w:p>
                                <w:p w:rsidR="000307F0" w:rsidRPr="000B240A" w:rsidRDefault="000307F0">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Erdenebileg Uyangaa</w:t>
                                  </w:r>
                                  <w:r w:rsidRPr="000B240A">
                                    <w:rPr>
                                      <w:rFonts w:eastAsia="돋움"/>
                                      <w:sz w:val="16"/>
                                      <w:szCs w:val="13"/>
                                    </w:rPr>
                                    <w:t>1</w:t>
                                  </w:r>
                                  <w:r w:rsidRPr="000B240A">
                                    <w:rPr>
                                      <w:rFonts w:eastAsia="돋움"/>
                                      <w:szCs w:val="20"/>
                                    </w:rPr>
                                    <w:t>, Hern-Ku Lee</w:t>
                                  </w:r>
                                  <w:r w:rsidRPr="000B240A">
                                    <w:rPr>
                                      <w:rFonts w:eastAsia="돋움"/>
                                      <w:sz w:val="16"/>
                                      <w:szCs w:val="13"/>
                                      <w:vertAlign w:val="superscript"/>
                                    </w:rPr>
                                    <w:t xml:space="preserve">2 </w:t>
                                  </w:r>
                                  <w:r w:rsidRPr="000B240A">
                                    <w:rPr>
                                      <w:rFonts w:eastAsia="돋움"/>
                                      <w:szCs w:val="20"/>
                                    </w:rPr>
                                    <w:t>and Seong Kug Eo</w:t>
                                  </w:r>
                                  <w:r w:rsidRPr="000B240A">
                                    <w:rPr>
                                      <w:rFonts w:eastAsia="돋움"/>
                                      <w:sz w:val="16"/>
                                      <w:szCs w:val="13"/>
                                    </w:rPr>
                                    <w:t>1</w:t>
                                  </w:r>
                                  <w:r w:rsidRPr="000B240A">
                                    <w:rPr>
                                      <w:rFonts w:eastAsia="돋움"/>
                                      <w:szCs w:val="20"/>
                                    </w:rPr>
                                    <w:t xml:space="preserve">* </w:t>
                                  </w:r>
                                </w:p>
                                <w:p w:rsidR="00651D27" w:rsidRPr="000B240A" w:rsidRDefault="00651D27">
                                  <w:pPr>
                                    <w:pStyle w:val="Default"/>
                                    <w:rPr>
                                      <w:rFonts w:eastAsia="돋움"/>
                                      <w:szCs w:val="20"/>
                                    </w:rPr>
                                  </w:pPr>
                                  <w:r w:rsidRPr="000B240A">
                                    <w:rPr>
                                      <w:rFonts w:eastAsia="돋움"/>
                                      <w:sz w:val="16"/>
                                      <w:szCs w:val="13"/>
                                    </w:rPr>
                                    <w:t>1</w:t>
                                  </w:r>
                                  <w:r w:rsidRPr="000B240A">
                                    <w:rPr>
                                      <w:rFonts w:eastAsia="돋움"/>
                                      <w:szCs w:val="20"/>
                                    </w:rPr>
                                    <w:t xml:space="preserve">College of Veterinary Medicine and Bio-Safety Research Institute, Chonbuk National University, </w:t>
                                  </w:r>
                                  <w:r w:rsidRPr="000B240A">
                                    <w:rPr>
                                      <w:rFonts w:eastAsia="돋움"/>
                                      <w:sz w:val="16"/>
                                      <w:szCs w:val="13"/>
                                    </w:rPr>
                                    <w:t>2</w:t>
                                  </w:r>
                                  <w:r w:rsidRPr="000B240A">
                                    <w:rPr>
                                      <w:rFonts w:eastAsia="돋움"/>
                                      <w:szCs w:val="20"/>
                                    </w:rPr>
                                    <w:t xml:space="preserve">Department of Immunology, Chonbuk National University Medical School, Jeonju 561-756, Korea </w:t>
                                  </w:r>
                                </w:p>
                                <w:p w:rsidR="000B240A" w:rsidRPr="000B240A" w:rsidRDefault="000B240A">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Besides their role as building blocks of protein, there are growing evidences that some amino acids have roles in regulating key metabolic pathways that are necessary for maintenance, growth, reproduction, and immunity. Here, we evaluated the modulatory functions of several amino acids in protective immunity against mucosal infection of herpes simplex virus type 1 (HSV-1). We found that glutamine (Gln) and leucine (Leu) showed enhanced protective immunity to HSV-1 mucosal infection when two administration of Gln and single administration of Leu per day, but not when administered in combinations. Ameliorated clinical signs of HSV-1 challenged mice by the intraperitoneal administration of Gln and Leu were closely associated with viral burden and IFN-</w:t>
                                  </w:r>
                                  <w:r w:rsidRPr="000B240A">
                                    <w:rPr>
                                      <w:rFonts w:ascii="Sylfaen" w:eastAsia="돋움" w:hAnsi="Sylfaen" w:cs="Sylfaen"/>
                                      <w:szCs w:val="20"/>
                                    </w:rPr>
                                    <w:t xml:space="preserve">Ճ </w:t>
                                  </w:r>
                                  <w:r w:rsidRPr="000B240A">
                                    <w:rPr>
                                      <w:rFonts w:eastAsia="돋움"/>
                                      <w:szCs w:val="20"/>
                                    </w:rPr>
                                    <w:t>production in the vaginal tract at 2 and 4 days post-infection. In addition, the enhanced production of vaginal IFN-</w:t>
                                  </w:r>
                                  <w:r w:rsidRPr="000B240A">
                                    <w:rPr>
                                      <w:rFonts w:ascii="Sylfaen" w:eastAsia="돋움" w:hAnsi="Sylfaen" w:cs="Sylfaen"/>
                                      <w:szCs w:val="20"/>
                                    </w:rPr>
                                    <w:t xml:space="preserve">Ճ </w:t>
                                  </w:r>
                                  <w:r w:rsidRPr="000B240A">
                                    <w:rPr>
                                      <w:rFonts w:eastAsia="돋움"/>
                                      <w:szCs w:val="20"/>
                                    </w:rPr>
                                    <w:t>appeared to be caused by NK and HSV-1 antigen-specific Th1-type CD4+ T cells recruited into vaginal tract of mice treated with Gln and Leu, which indicates that IFN-</w:t>
                                  </w:r>
                                  <w:r w:rsidRPr="000B240A">
                                    <w:rPr>
                                      <w:rFonts w:ascii="Sylfaen" w:eastAsia="돋움" w:hAnsi="Sylfaen" w:cs="Sylfaen"/>
                                      <w:szCs w:val="20"/>
                                    </w:rPr>
                                    <w:t>Ճ</w:t>
                                  </w:r>
                                  <w:r w:rsidRPr="000B240A">
                                    <w:rPr>
                                      <w:rFonts w:eastAsia="돋움"/>
                                      <w:szCs w:val="20"/>
                                    </w:rPr>
                                    <w:t xml:space="preserve">, produced by NK and Th1-type CD4+ T cells, may be critical to control the outcome of diseases caused by HSV-1 mucosal infection. Collectively, our results indicate that intraperitoneal administration of Gln and Leu following HSV-1 mucosal infection could provide beneficial effects for the modulation of protective immunity, but dosage and frequency of administration should be carefully considered, because higher frequency and overdose of Gln and Leu, or their combined treatment, showed detrimental effects to protective immunity. </w:t>
                                  </w:r>
                                </w:p>
                                <w:p w:rsidR="00103EFC" w:rsidRPr="000B240A" w:rsidRDefault="00103EFC">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 xml:space="preserve">Keyword : Glutamine, Leucine, Mucosal infection, Herpes simplex virus, Protective immunity </w:t>
                                  </w:r>
                                </w:p>
                              </w:tc>
                            </w:tr>
                          </w:tbl>
                          <w:p w:rsidR="00651D27" w:rsidRPr="000B240A" w:rsidRDefault="00651D27" w:rsidP="00103EF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margin-left:0;margin-top:0;width:520.4pt;height:43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">
                <v:textbox>
                  <w:txbxContent>
                    <w:tbl>
                      <w:tblPr>
                        <w:tblW w:w="0" w:type="auto"/>
                        <w:tblBorders>
                          <w:top w:val="nil"/>
                          <w:left w:val="nil"/>
                          <w:bottom w:val="nil"/>
                          <w:right w:val="nil"/>
                        </w:tblBorders>
                        <w:tblLook w:val="0000" w:firstRow="0" w:lastRow="0" w:firstColumn="0" w:lastColumn="0" w:noHBand="0" w:noVBand="0"/>
                      </w:tblPr>
                      <w:tblGrid>
                        <w:gridCol w:w="10106"/>
                      </w:tblGrid>
                      <w:tr w:rsidR="00103EFC" w:rsidRPr="000B240A">
                        <w:trPr>
                          <w:trHeight w:val="5867"/>
                        </w:trPr>
                        <w:tc>
                          <w:tcPr>
                            <w:tcW w:w="0" w:type="auto"/>
                          </w:tcPr>
                          <w:p w:rsidR="00651D27" w:rsidRPr="000B240A" w:rsidRDefault="00651D27">
                            <w:pPr>
                              <w:pStyle w:val="Default"/>
                              <w:rPr>
                                <w:rFonts w:eastAsia="돋움"/>
                                <w:szCs w:val="20"/>
                              </w:rPr>
                            </w:pPr>
                            <w:r w:rsidRPr="000B240A">
                              <w:rPr>
                                <w:szCs w:val="20"/>
                              </w:rPr>
                              <w:t>&lt;</w:t>
                            </w:r>
                            <w:r w:rsidR="00103EFC" w:rsidRPr="000B240A">
                              <w:rPr>
                                <w:rFonts w:eastAsia="돋움"/>
                                <w:szCs w:val="20"/>
                              </w:rPr>
                              <w:t>Example</w:t>
                            </w:r>
                            <w:r w:rsidRPr="000B240A">
                              <w:rPr>
                                <w:rFonts w:eastAsia="돋움"/>
                                <w:szCs w:val="20"/>
                              </w:rPr>
                              <w:t xml:space="preserve">&gt; </w:t>
                            </w:r>
                          </w:p>
                          <w:p w:rsidR="00103EFC" w:rsidRPr="000B240A" w:rsidRDefault="00103EFC">
                            <w:pPr>
                              <w:pStyle w:val="Default"/>
                              <w:rPr>
                                <w:rFonts w:eastAsia="돋움"/>
                                <w:szCs w:val="20"/>
                              </w:rPr>
                            </w:pPr>
                          </w:p>
                          <w:p w:rsidR="00651D27" w:rsidRDefault="00651D27">
                            <w:pPr>
                              <w:pStyle w:val="Default"/>
                              <w:rPr>
                                <w:rFonts w:eastAsia="돋움"/>
                                <w:b/>
                                <w:bCs/>
                                <w:szCs w:val="20"/>
                              </w:rPr>
                            </w:pPr>
                            <w:r w:rsidRPr="000B240A">
                              <w:rPr>
                                <w:rFonts w:eastAsia="돋움"/>
                                <w:b/>
                                <w:bCs/>
                                <w:szCs w:val="20"/>
                              </w:rPr>
                              <w:t xml:space="preserve">Glutamine and Leucine Provide Enhanced Protective Immunity Against Mucosal Infection with Herpes Simplex Virus Type 1 </w:t>
                            </w:r>
                          </w:p>
                          <w:p w:rsidR="000307F0" w:rsidRPr="000B240A" w:rsidRDefault="000307F0">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Erdenebileg Uyangaa</w:t>
                            </w:r>
                            <w:r w:rsidRPr="000B240A">
                              <w:rPr>
                                <w:rFonts w:eastAsia="돋움"/>
                                <w:sz w:val="16"/>
                                <w:szCs w:val="13"/>
                              </w:rPr>
                              <w:t>1</w:t>
                            </w:r>
                            <w:r w:rsidRPr="000B240A">
                              <w:rPr>
                                <w:rFonts w:eastAsia="돋움"/>
                                <w:szCs w:val="20"/>
                              </w:rPr>
                              <w:t>, Hern-Ku Lee</w:t>
                            </w:r>
                            <w:r w:rsidRPr="000B240A">
                              <w:rPr>
                                <w:rFonts w:eastAsia="돋움"/>
                                <w:sz w:val="16"/>
                                <w:szCs w:val="13"/>
                                <w:vertAlign w:val="superscript"/>
                              </w:rPr>
                              <w:t xml:space="preserve">2 </w:t>
                            </w:r>
                            <w:r w:rsidRPr="000B240A">
                              <w:rPr>
                                <w:rFonts w:eastAsia="돋움"/>
                                <w:szCs w:val="20"/>
                              </w:rPr>
                              <w:t>and Seong Kug Eo</w:t>
                            </w:r>
                            <w:r w:rsidRPr="000B240A">
                              <w:rPr>
                                <w:rFonts w:eastAsia="돋움"/>
                                <w:sz w:val="16"/>
                                <w:szCs w:val="13"/>
                              </w:rPr>
                              <w:t>1</w:t>
                            </w:r>
                            <w:r w:rsidRPr="000B240A">
                              <w:rPr>
                                <w:rFonts w:eastAsia="돋움"/>
                                <w:szCs w:val="20"/>
                              </w:rPr>
                              <w:t xml:space="preserve">* </w:t>
                            </w:r>
                          </w:p>
                          <w:p w:rsidR="00651D27" w:rsidRPr="000B240A" w:rsidRDefault="00651D27">
                            <w:pPr>
                              <w:pStyle w:val="Default"/>
                              <w:rPr>
                                <w:rFonts w:eastAsia="돋움"/>
                                <w:szCs w:val="20"/>
                              </w:rPr>
                            </w:pPr>
                            <w:r w:rsidRPr="000B240A">
                              <w:rPr>
                                <w:rFonts w:eastAsia="돋움"/>
                                <w:sz w:val="16"/>
                                <w:szCs w:val="13"/>
                              </w:rPr>
                              <w:t>1</w:t>
                            </w:r>
                            <w:r w:rsidRPr="000B240A">
                              <w:rPr>
                                <w:rFonts w:eastAsia="돋움"/>
                                <w:szCs w:val="20"/>
                              </w:rPr>
                              <w:t xml:space="preserve">College of Veterinary Medicine and Bio-Safety Research Institute, Chonbuk National University, </w:t>
                            </w:r>
                            <w:r w:rsidRPr="000B240A">
                              <w:rPr>
                                <w:rFonts w:eastAsia="돋움"/>
                                <w:sz w:val="16"/>
                                <w:szCs w:val="13"/>
                              </w:rPr>
                              <w:t>2</w:t>
                            </w:r>
                            <w:r w:rsidRPr="000B240A">
                              <w:rPr>
                                <w:rFonts w:eastAsia="돋움"/>
                                <w:szCs w:val="20"/>
                              </w:rPr>
                              <w:t xml:space="preserve">Department of Immunology, Chonbuk National University Medical School, Jeonju 561-756, Korea </w:t>
                            </w:r>
                          </w:p>
                          <w:p w:rsidR="000B240A" w:rsidRPr="000B240A" w:rsidRDefault="000B240A">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Besides their role as building blocks of protein, there are growing evidences that some amino acids have roles in regulating key metabolic pathways that are necessary for maintenance, growth, reproduction, and immunity. Here, we evaluated the modulatory functions of several amino acids in protective immunity against mucosal infection of herpes simplex virus type 1 (HSV-1). We found that glutamine (Gln) and leucine (Leu) showed enhanced protective immunity to HSV-1 mucosal infection when two administration of Gln and single administration of Leu per day, but not when administered in combinations. Ameliorated clinical signs of HSV-1 challenged mice by the intraperitoneal administration of Gln and Leu were closely associated with viral burden and IFN-</w:t>
                            </w:r>
                            <w:r w:rsidRPr="000B240A">
                              <w:rPr>
                                <w:rFonts w:ascii="Sylfaen" w:eastAsia="돋움" w:hAnsi="Sylfaen" w:cs="Sylfaen"/>
                                <w:szCs w:val="20"/>
                              </w:rPr>
                              <w:t xml:space="preserve">Ճ </w:t>
                            </w:r>
                            <w:r w:rsidRPr="000B240A">
                              <w:rPr>
                                <w:rFonts w:eastAsia="돋움"/>
                                <w:szCs w:val="20"/>
                              </w:rPr>
                              <w:t>production in the vaginal tract at 2 and 4 days post-infection. In addition, the enhanced production of vaginal IFN-</w:t>
                            </w:r>
                            <w:r w:rsidRPr="000B240A">
                              <w:rPr>
                                <w:rFonts w:ascii="Sylfaen" w:eastAsia="돋움" w:hAnsi="Sylfaen" w:cs="Sylfaen"/>
                                <w:szCs w:val="20"/>
                              </w:rPr>
                              <w:t xml:space="preserve">Ճ </w:t>
                            </w:r>
                            <w:r w:rsidRPr="000B240A">
                              <w:rPr>
                                <w:rFonts w:eastAsia="돋움"/>
                                <w:szCs w:val="20"/>
                              </w:rPr>
                              <w:t>appeared to be caused by NK and HSV-1 antigen-specific Th1-type CD4+ T cells recruited into vaginal tract of mice treated with Gln and Leu, which indicates that IFN-</w:t>
                            </w:r>
                            <w:r w:rsidRPr="000B240A">
                              <w:rPr>
                                <w:rFonts w:ascii="Sylfaen" w:eastAsia="돋움" w:hAnsi="Sylfaen" w:cs="Sylfaen"/>
                                <w:szCs w:val="20"/>
                              </w:rPr>
                              <w:t>Ճ</w:t>
                            </w:r>
                            <w:r w:rsidRPr="000B240A">
                              <w:rPr>
                                <w:rFonts w:eastAsia="돋움"/>
                                <w:szCs w:val="20"/>
                              </w:rPr>
                              <w:t xml:space="preserve">, produced by NK and Th1-type CD4+ T cells, may be critical to control the outcome of diseases caused by HSV-1 mucosal infection. Collectively, our results indicate that intraperitoneal administration of Gln and Leu following HSV-1 mucosal infection could provide beneficial effects for the modulation of protective immunity, but dosage and frequency of administration should be carefully considered, because higher frequency and overdose of Gln and Leu, or their combined treatment, showed detrimental effects to protective immunity. </w:t>
                            </w:r>
                          </w:p>
                          <w:p w:rsidR="00103EFC" w:rsidRPr="000B240A" w:rsidRDefault="00103EFC">
                            <w:pPr>
                              <w:pStyle w:val="Default"/>
                              <w:rPr>
                                <w:rFonts w:eastAsia="돋움"/>
                                <w:szCs w:val="20"/>
                              </w:rPr>
                            </w:pPr>
                          </w:p>
                          <w:p w:rsidR="00651D27" w:rsidRPr="000B240A" w:rsidRDefault="00651D27">
                            <w:pPr>
                              <w:pStyle w:val="Default"/>
                              <w:rPr>
                                <w:rFonts w:eastAsia="돋움"/>
                                <w:szCs w:val="20"/>
                              </w:rPr>
                            </w:pPr>
                            <w:r w:rsidRPr="000B240A">
                              <w:rPr>
                                <w:rFonts w:eastAsia="돋움"/>
                                <w:szCs w:val="20"/>
                              </w:rPr>
                              <w:t xml:space="preserve">Keyword : Glutamine, Leucine, Mucosal infection, Herpes simplex virus, Protective immunity </w:t>
                            </w:r>
                          </w:p>
                        </w:tc>
                      </w:tr>
                    </w:tbl>
                    <w:p w:rsidR="00651D27" w:rsidRPr="000B240A" w:rsidRDefault="00651D27" w:rsidP="00103EFC">
                      <w:pPr>
                        <w:rPr>
                          <w:sz w:val="24"/>
                        </w:rPr>
                      </w:pPr>
                    </w:p>
                  </w:txbxContent>
                </v:textbox>
              </v:shape>
            </w:pict>
          </mc:Fallback>
        </mc:AlternateContent>
      </w:r>
    </w:p>
    <w:p w:rsidR="003C7621" w:rsidRPr="00651D27" w:rsidRDefault="003C7621"/>
    <w:sectPr w:rsidR="003C7621" w:rsidRPr="00651D27" w:rsidSect="000307F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97" w:rsidRDefault="000F3E97" w:rsidP="00845CCF">
      <w:pPr>
        <w:spacing w:after="0" w:line="240" w:lineRule="auto"/>
      </w:pPr>
      <w:r>
        <w:separator/>
      </w:r>
    </w:p>
  </w:endnote>
  <w:endnote w:type="continuationSeparator" w:id="0">
    <w:p w:rsidR="000F3E97" w:rsidRDefault="000F3E97" w:rsidP="0084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97" w:rsidRDefault="000F3E97" w:rsidP="00845CCF">
      <w:pPr>
        <w:spacing w:after="0" w:line="240" w:lineRule="auto"/>
      </w:pPr>
      <w:r>
        <w:separator/>
      </w:r>
    </w:p>
  </w:footnote>
  <w:footnote w:type="continuationSeparator" w:id="0">
    <w:p w:rsidR="000F3E97" w:rsidRDefault="000F3E97" w:rsidP="0084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83C83"/>
    <w:multiLevelType w:val="hybridMultilevel"/>
    <w:tmpl w:val="7D302050"/>
    <w:lvl w:ilvl="0" w:tplc="34C82F5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7"/>
    <w:rsid w:val="000307F0"/>
    <w:rsid w:val="00055554"/>
    <w:rsid w:val="000B240A"/>
    <w:rsid w:val="000F3E97"/>
    <w:rsid w:val="00103EFC"/>
    <w:rsid w:val="003C7621"/>
    <w:rsid w:val="00475DF9"/>
    <w:rsid w:val="00613454"/>
    <w:rsid w:val="00651D27"/>
    <w:rsid w:val="006E3959"/>
    <w:rsid w:val="00711BA9"/>
    <w:rsid w:val="00845CCF"/>
    <w:rsid w:val="008D42B5"/>
    <w:rsid w:val="009E1A80"/>
    <w:rsid w:val="00AE2337"/>
    <w:rsid w:val="00DB454C"/>
    <w:rsid w:val="00E954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64316-6E0B-4799-99A2-81A41245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1D27"/>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Balloon Text"/>
    <w:basedOn w:val="a"/>
    <w:link w:val="Char"/>
    <w:uiPriority w:val="99"/>
    <w:semiHidden/>
    <w:unhideWhenUsed/>
    <w:rsid w:val="00651D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51D27"/>
    <w:rPr>
      <w:rFonts w:asciiTheme="majorHAnsi" w:eastAsiaTheme="majorEastAsia" w:hAnsiTheme="majorHAnsi" w:cstheme="majorBidi"/>
      <w:sz w:val="18"/>
      <w:szCs w:val="18"/>
    </w:rPr>
  </w:style>
  <w:style w:type="paragraph" w:styleId="a4">
    <w:name w:val="header"/>
    <w:basedOn w:val="a"/>
    <w:link w:val="Char0"/>
    <w:uiPriority w:val="99"/>
    <w:unhideWhenUsed/>
    <w:rsid w:val="00845CCF"/>
    <w:pPr>
      <w:tabs>
        <w:tab w:val="center" w:pos="4513"/>
        <w:tab w:val="right" w:pos="9026"/>
      </w:tabs>
      <w:snapToGrid w:val="0"/>
    </w:pPr>
  </w:style>
  <w:style w:type="character" w:customStyle="1" w:styleId="Char0">
    <w:name w:val="머리글 Char"/>
    <w:basedOn w:val="a0"/>
    <w:link w:val="a4"/>
    <w:uiPriority w:val="99"/>
    <w:rsid w:val="00845CCF"/>
  </w:style>
  <w:style w:type="paragraph" w:styleId="a5">
    <w:name w:val="footer"/>
    <w:basedOn w:val="a"/>
    <w:link w:val="Char1"/>
    <w:uiPriority w:val="99"/>
    <w:unhideWhenUsed/>
    <w:rsid w:val="00845CCF"/>
    <w:pPr>
      <w:tabs>
        <w:tab w:val="center" w:pos="4513"/>
        <w:tab w:val="right" w:pos="9026"/>
      </w:tabs>
      <w:snapToGrid w:val="0"/>
    </w:pPr>
  </w:style>
  <w:style w:type="character" w:customStyle="1" w:styleId="Char1">
    <w:name w:val="바닥글 Char"/>
    <w:basedOn w:val="a0"/>
    <w:link w:val="a5"/>
    <w:uiPriority w:val="99"/>
    <w:rsid w:val="0084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526</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Sujin Kim</cp:lastModifiedBy>
  <cp:revision>3</cp:revision>
  <dcterms:created xsi:type="dcterms:W3CDTF">2016-08-11T06:12:00Z</dcterms:created>
  <dcterms:modified xsi:type="dcterms:W3CDTF">2016-08-11T06:18:00Z</dcterms:modified>
</cp:coreProperties>
</file>